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b/>
          <w:bCs/>
          <w:sz w:val="28"/>
          <w:szCs w:val="28"/>
        </w:rPr>
      </w:pPr>
      <w:r w:rsidRPr="00CD230F">
        <w:rPr>
          <w:rFonts w:ascii="Roboto" w:hAnsi="Roboto"/>
          <w:b/>
          <w:bCs/>
          <w:sz w:val="28"/>
          <w:szCs w:val="28"/>
        </w:rPr>
        <w:t>Основные показатели работы ГБУЗ РК «Алуштинская ЦГБ»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b/>
          <w:bCs/>
          <w:sz w:val="28"/>
          <w:szCs w:val="28"/>
        </w:rPr>
      </w:pPr>
      <w:r w:rsidRPr="00CD230F">
        <w:rPr>
          <w:rFonts w:ascii="Roboto" w:hAnsi="Roboto"/>
          <w:b/>
          <w:bCs/>
          <w:sz w:val="28"/>
          <w:szCs w:val="28"/>
        </w:rPr>
        <w:t>(по итогам 2019 года)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>Численность приписного населения по муниципальному округу Алушта (данные Крымстата на 2019 год) составляет 54866 чел., прикрепленного населения (данные страховых компаний) - 53596 чел.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На 1 января 2020 года в ГБУЗ РК «Алуштинская ЦГБ» работали 759 человек, из них 145 врачей и 336 средних медицинских работников. 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>Укомплектованность штатных врачебных должностей составила 66,4%, дефицит врачей увеличился и составил 73 чел.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Удельный вес работающих врачей-пенсионеров составляет 49,6%.  </w:t>
      </w:r>
    </w:p>
    <w:p w:rsidR="004960D7" w:rsidRPr="00CD230F" w:rsidRDefault="004960D7" w:rsidP="00CD230F">
      <w:pPr>
        <w:suppressAutoHyphens/>
        <w:spacing w:after="0" w:line="240" w:lineRule="auto"/>
        <w:ind w:firstLine="709"/>
        <w:jc w:val="both"/>
        <w:rPr>
          <w:rFonts w:ascii="Roboto" w:hAnsi="Roboto"/>
          <w:sz w:val="28"/>
          <w:szCs w:val="28"/>
          <w:lang w:eastAsia="zh-CN"/>
        </w:rPr>
      </w:pPr>
      <w:r w:rsidRPr="00CD230F">
        <w:rPr>
          <w:rFonts w:ascii="Roboto" w:hAnsi="Roboto"/>
          <w:sz w:val="28"/>
          <w:szCs w:val="28"/>
          <w:lang w:eastAsia="zh-CN"/>
        </w:rPr>
        <w:t>Укомплектованность штатных должностей среднего медперсонала</w:t>
      </w:r>
      <w:r w:rsidRPr="00CD230F">
        <w:rPr>
          <w:rFonts w:ascii="Roboto" w:hAnsi="Roboto"/>
          <w:b/>
          <w:bCs/>
          <w:sz w:val="28"/>
          <w:szCs w:val="28"/>
          <w:lang w:eastAsia="zh-CN"/>
        </w:rPr>
        <w:t xml:space="preserve"> </w:t>
      </w:r>
      <w:r w:rsidRPr="00CD230F">
        <w:rPr>
          <w:rFonts w:ascii="Roboto" w:hAnsi="Roboto"/>
          <w:sz w:val="28"/>
          <w:szCs w:val="28"/>
          <w:lang w:eastAsia="zh-CN"/>
        </w:rPr>
        <w:t xml:space="preserve"> физическими  лицами составляет 72,9%. 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>Сертификаты специалистов российского образца имеют 144 врача, что составляет 99,3%.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68 врачей имеют действующие квалификационные категории: высшую - 26,8% врачей, первую – 11%, вторую – 8,9%. 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>Сертификаты специалиста российского образца имеют   317 средних медицинских работников, что составляет 94,3%.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 167 средних медработников имеют действующие квалификационные категории: высшую - 36,3%, первую – 9,2%, вторую – 4,1%.</w:t>
      </w:r>
    </w:p>
    <w:p w:rsidR="004960D7" w:rsidRPr="00CD230F" w:rsidRDefault="004960D7" w:rsidP="00CD230F">
      <w:pPr>
        <w:suppressAutoHyphens/>
        <w:spacing w:after="0" w:line="240" w:lineRule="auto"/>
        <w:ind w:firstLine="709"/>
        <w:jc w:val="both"/>
        <w:rPr>
          <w:rFonts w:ascii="Roboto" w:hAnsi="Roboto"/>
          <w:sz w:val="28"/>
          <w:szCs w:val="28"/>
          <w:lang w:eastAsia="zh-CN"/>
        </w:rPr>
      </w:pPr>
      <w:r w:rsidRPr="00CD230F">
        <w:rPr>
          <w:rFonts w:ascii="Roboto" w:hAnsi="Roboto"/>
          <w:sz w:val="28"/>
          <w:szCs w:val="28"/>
          <w:lang w:eastAsia="zh-CN"/>
        </w:rPr>
        <w:t>В 2018-19 году ГБУЗРК "Алуштинская ЦГБ" в программе "Земский доктор" приняли участие 6 врачей: врач-терапевт Приветненской врачебной амбулатории, врач-невролог поликлиники, врач-гастроэнтеролог поликлиники, врач-терапевт кабинета неотложной медицинской помощи поликлиники, врач-педиатр участковый детской поликлиники, врач-оториноларинголог поликлиники.</w:t>
      </w:r>
    </w:p>
    <w:p w:rsidR="004960D7" w:rsidRPr="00CD230F" w:rsidRDefault="004960D7" w:rsidP="00CD230F">
      <w:pPr>
        <w:suppressAutoHyphens/>
        <w:spacing w:after="0" w:line="240" w:lineRule="auto"/>
        <w:ind w:firstLine="709"/>
        <w:jc w:val="both"/>
        <w:rPr>
          <w:rFonts w:ascii="Roboto" w:hAnsi="Roboto"/>
          <w:sz w:val="28"/>
          <w:szCs w:val="28"/>
          <w:lang w:eastAsia="zh-CN"/>
        </w:rPr>
      </w:pPr>
      <w:r w:rsidRPr="00CD230F">
        <w:rPr>
          <w:rFonts w:ascii="Roboto" w:hAnsi="Roboto"/>
          <w:sz w:val="28"/>
          <w:szCs w:val="28"/>
          <w:lang w:eastAsia="zh-CN"/>
        </w:rPr>
        <w:t>В программе "Земский фельдшер" в 2018-19 году приняли участие 2 специалиста: заведующий Рыбачьевским фельдшерско-акушерским пунктом и заведующий Кипарисненским фельдшерско-акушерским пунктом.</w:t>
      </w:r>
    </w:p>
    <w:p w:rsidR="004960D7" w:rsidRPr="00CD230F" w:rsidRDefault="004960D7" w:rsidP="00CD230F">
      <w:pPr>
        <w:suppressAutoHyphens/>
        <w:spacing w:after="0" w:line="240" w:lineRule="auto"/>
        <w:ind w:firstLine="709"/>
        <w:jc w:val="both"/>
        <w:rPr>
          <w:rFonts w:ascii="Roboto" w:hAnsi="Roboto"/>
          <w:sz w:val="28"/>
          <w:szCs w:val="28"/>
          <w:lang w:eastAsia="zh-CN"/>
        </w:rPr>
      </w:pPr>
      <w:r w:rsidRPr="00CD230F">
        <w:rPr>
          <w:rFonts w:ascii="Roboto" w:hAnsi="Roboto"/>
          <w:sz w:val="28"/>
          <w:szCs w:val="28"/>
          <w:lang w:eastAsia="zh-CN"/>
        </w:rPr>
        <w:t>В 2019 году 8 врачей приняли участие в программе социальной поддержки медицинских работников в части возмещения расходов на наём жилых помещений иногородним медицинским работникам, в соответствии с постановлением Совета министров Республики Крым № 262 (с изменениями).</w:t>
      </w:r>
    </w:p>
    <w:p w:rsidR="004960D7" w:rsidRPr="00CD230F" w:rsidRDefault="004960D7" w:rsidP="00CD230F">
      <w:pPr>
        <w:suppressAutoHyphens/>
        <w:spacing w:after="0" w:line="240" w:lineRule="auto"/>
        <w:ind w:firstLine="709"/>
        <w:jc w:val="both"/>
        <w:rPr>
          <w:rFonts w:ascii="Roboto" w:hAnsi="Roboto"/>
          <w:sz w:val="28"/>
          <w:szCs w:val="28"/>
          <w:lang w:eastAsia="zh-CN"/>
        </w:rPr>
      </w:pPr>
      <w:r w:rsidRPr="00CD230F">
        <w:rPr>
          <w:rFonts w:ascii="Roboto" w:hAnsi="Roboto"/>
          <w:sz w:val="28"/>
          <w:szCs w:val="28"/>
        </w:rPr>
        <w:t>В 2019 году поликлинические учреждения посетили 10 544 пациентам, которым была оказана медицинская помощь в неотложной форме, посещения с профилактической и иной целью составили 137 061 случаев,  обращения в связи с заболеванием – 33 311 случая.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>На 1 января 2020 года коечная мощность стационара, включая койки дневного пребывания, согласно утвержденным объёмам оказания медпомощи в системе ОМС, составила 266 койки (в том числе, 40 дневного пребывания).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color w:val="000000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В 2019 году в круглосуточном стационаре прошли лечение 8108 пациентов, </w:t>
      </w:r>
      <w:r w:rsidRPr="00CD230F">
        <w:rPr>
          <w:rFonts w:ascii="Roboto" w:hAnsi="Roboto"/>
          <w:color w:val="000000"/>
          <w:sz w:val="28"/>
          <w:szCs w:val="28"/>
        </w:rPr>
        <w:t xml:space="preserve">из них: дети – 2110 человека (26,5 %), сельские жители – 2109 человек (26,5%). Среднее пребывание пациента на койке составило 7,9 дней. 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В 2019 году родились 446 детей. 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Естественная убыль населения составила 323 человек. 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По итогам 2019 года план по диспансеризации взрослого населения выполнен на 91,6% или 7659 человек прошли диспансеризацию, из них </w:t>
      </w:r>
      <w:r w:rsidRPr="00CD230F">
        <w:rPr>
          <w:rFonts w:ascii="Roboto" w:hAnsi="Roboto"/>
          <w:sz w:val="28"/>
          <w:szCs w:val="28"/>
          <w:lang w:val="en-US"/>
        </w:rPr>
        <w:t>II</w:t>
      </w:r>
      <w:r w:rsidRPr="00CD230F">
        <w:rPr>
          <w:rFonts w:ascii="Roboto" w:hAnsi="Roboto"/>
          <w:sz w:val="28"/>
          <w:szCs w:val="28"/>
        </w:rPr>
        <w:t xml:space="preserve"> этап диспансеризации прошли 661 человек. По результатам диспансеризации назначено лечение 85,9% осмотренных или 6581 чел.</w:t>
      </w:r>
    </w:p>
    <w:p w:rsidR="004960D7" w:rsidRPr="00CD230F" w:rsidRDefault="004960D7" w:rsidP="00CD230F">
      <w:pPr>
        <w:pStyle w:val="22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В структуре заболеваемости на первом месте - болезни органов дыхания (46,7%). Из заболеваний органов дыхания 77% составляют острые респираторные инфекции верхних дыхательных путей. Второе место - травмы (9,6%). На третьем месте - болезни костно-мышечной системы (8,0%); на четвертом - болезни мочеполовой системы (5,9%). </w:t>
      </w:r>
    </w:p>
    <w:p w:rsidR="004960D7" w:rsidRPr="00CD230F" w:rsidRDefault="004960D7" w:rsidP="00CD230F">
      <w:pPr>
        <w:pStyle w:val="21"/>
        <w:ind w:firstLine="709"/>
        <w:rPr>
          <w:rFonts w:ascii="Roboto" w:hAnsi="Roboto"/>
          <w:szCs w:val="28"/>
        </w:rPr>
      </w:pPr>
      <w:r w:rsidRPr="00CD230F">
        <w:rPr>
          <w:rFonts w:ascii="Roboto" w:hAnsi="Roboto"/>
          <w:szCs w:val="28"/>
        </w:rPr>
        <w:t>Заболеваемость острым инфарктом миокарда увеличилась на 4% и составила 45 случаев, из них 88,4% лица старше трудоспособного возраста или 38 человек. Пролечено в ПСО г.Ялты 38 человек, в стационаре Алуштинской ЦГБ - 2 больных, в ГБУЗ РК «РКБ им. Семашко» - 1 чел.</w:t>
      </w:r>
    </w:p>
    <w:p w:rsidR="004960D7" w:rsidRPr="00CD230F" w:rsidRDefault="004960D7" w:rsidP="00CD230F">
      <w:pPr>
        <w:pStyle w:val="21"/>
        <w:ind w:firstLine="709"/>
        <w:rPr>
          <w:rFonts w:ascii="Roboto" w:hAnsi="Roboto"/>
          <w:szCs w:val="28"/>
        </w:rPr>
      </w:pPr>
      <w:r w:rsidRPr="00CD230F">
        <w:rPr>
          <w:rFonts w:ascii="Roboto" w:hAnsi="Roboto"/>
          <w:szCs w:val="28"/>
        </w:rPr>
        <w:t>Заболеваемость инсультами увеличилась на 38% или 138</w:t>
      </w:r>
      <w:r w:rsidRPr="00CD230F">
        <w:rPr>
          <w:rFonts w:ascii="Roboto" w:hAnsi="Roboto"/>
          <w:b/>
          <w:szCs w:val="28"/>
        </w:rPr>
        <w:t xml:space="preserve"> </w:t>
      </w:r>
      <w:r w:rsidRPr="00CD230F">
        <w:rPr>
          <w:rFonts w:ascii="Roboto" w:hAnsi="Roboto"/>
          <w:szCs w:val="28"/>
        </w:rPr>
        <w:t>случаев</w:t>
      </w:r>
      <w:r w:rsidRPr="00CD230F">
        <w:rPr>
          <w:rFonts w:ascii="Roboto" w:hAnsi="Roboto"/>
          <w:b/>
          <w:szCs w:val="28"/>
        </w:rPr>
        <w:t xml:space="preserve">. </w:t>
      </w:r>
      <w:bookmarkStart w:id="0" w:name="_GoBack"/>
      <w:r w:rsidRPr="00CD230F">
        <w:rPr>
          <w:rFonts w:ascii="Roboto" w:hAnsi="Roboto"/>
          <w:bCs/>
          <w:szCs w:val="28"/>
        </w:rPr>
        <w:t>И</w:t>
      </w:r>
      <w:bookmarkEnd w:id="0"/>
      <w:r w:rsidRPr="00CD230F">
        <w:rPr>
          <w:rFonts w:ascii="Roboto" w:hAnsi="Roboto"/>
          <w:szCs w:val="28"/>
        </w:rPr>
        <w:t xml:space="preserve">з них 95% или 131 человек составляют лица старше трудоспособного возраста.  </w:t>
      </w:r>
    </w:p>
    <w:p w:rsidR="004960D7" w:rsidRPr="00CD230F" w:rsidRDefault="004960D7" w:rsidP="00CD230F">
      <w:pPr>
        <w:pStyle w:val="22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Выявляемость сахарного диабета выросла и составила 300,4 на 100 тысяч населения. При диспансеризации выявлено 30 случаев сахарного диабета. </w:t>
      </w:r>
    </w:p>
    <w:p w:rsidR="004960D7" w:rsidRPr="00CD230F" w:rsidRDefault="004960D7" w:rsidP="00CD230F">
      <w:pPr>
        <w:pStyle w:val="22"/>
        <w:ind w:firstLine="709"/>
        <w:jc w:val="both"/>
        <w:rPr>
          <w:rFonts w:ascii="Roboto" w:hAnsi="Roboto"/>
          <w:b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Заболеваемость туберкулезом всех локализаций увеличилась на 40% и составила 25 случаев: органов дыхания - 23 случая, органов дыхания с бактериовыделением – 17. Удельный вес деструктивных форм туберкулеза снизился с 33% до 29%, а также запущенных случаев 23% до 22%. </w:t>
      </w:r>
    </w:p>
    <w:p w:rsidR="004960D7" w:rsidRPr="00CD230F" w:rsidRDefault="004960D7" w:rsidP="00CD230F">
      <w:pPr>
        <w:pStyle w:val="22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Среди сельского населения заболеваемость туберкулезом органов дыхания выросла более чем в 2 раза - с 5 до 11 случаев. </w:t>
      </w:r>
    </w:p>
    <w:p w:rsidR="004960D7" w:rsidRPr="00CD230F" w:rsidRDefault="004960D7" w:rsidP="00CD230F">
      <w:pPr>
        <w:pStyle w:val="22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Охват профилактическими осмотрами с целью раннего выявления туберкулеза увеличился на 8,5%. </w:t>
      </w:r>
    </w:p>
    <w:p w:rsidR="004960D7" w:rsidRPr="00CD230F" w:rsidRDefault="004960D7" w:rsidP="00CD230F">
      <w:pPr>
        <w:pStyle w:val="22"/>
        <w:ind w:firstLine="709"/>
        <w:jc w:val="both"/>
        <w:rPr>
          <w:rFonts w:ascii="Roboto" w:hAnsi="Roboto"/>
          <w:sz w:val="28"/>
          <w:szCs w:val="28"/>
        </w:rPr>
      </w:pPr>
      <w:r w:rsidRPr="00CD230F">
        <w:rPr>
          <w:rFonts w:ascii="Roboto" w:hAnsi="Roboto"/>
          <w:sz w:val="28"/>
          <w:szCs w:val="28"/>
        </w:rPr>
        <w:t xml:space="preserve">Охват флюорографическим обследованием увеличился на 10%. </w:t>
      </w:r>
    </w:p>
    <w:p w:rsidR="004960D7" w:rsidRPr="00CD230F" w:rsidRDefault="004960D7" w:rsidP="00CD230F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</w:p>
    <w:sectPr w:rsidR="004960D7" w:rsidRPr="00CD230F" w:rsidSect="00CD230F">
      <w:pgSz w:w="11906" w:h="16838"/>
      <w:pgMar w:top="1134" w:right="26" w:bottom="113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053FC5"/>
    <w:multiLevelType w:val="hybridMultilevel"/>
    <w:tmpl w:val="600AE67E"/>
    <w:lvl w:ilvl="0" w:tplc="87E4D8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2E3"/>
    <w:rsid w:val="0001221F"/>
    <w:rsid w:val="001C3E3A"/>
    <w:rsid w:val="003C2879"/>
    <w:rsid w:val="00475BEB"/>
    <w:rsid w:val="004960D7"/>
    <w:rsid w:val="004E666A"/>
    <w:rsid w:val="005202E3"/>
    <w:rsid w:val="00547E4B"/>
    <w:rsid w:val="005736CF"/>
    <w:rsid w:val="005A0AEB"/>
    <w:rsid w:val="005B2087"/>
    <w:rsid w:val="00902FC6"/>
    <w:rsid w:val="00B03884"/>
    <w:rsid w:val="00B44535"/>
    <w:rsid w:val="00C039BF"/>
    <w:rsid w:val="00CD230F"/>
    <w:rsid w:val="00DB2479"/>
    <w:rsid w:val="00F516B5"/>
    <w:rsid w:val="00F55915"/>
    <w:rsid w:val="00F91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6B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Normal"/>
    <w:uiPriority w:val="99"/>
    <w:rsid w:val="00F91FB9"/>
    <w:pPr>
      <w:suppressAutoHyphens/>
      <w:spacing w:after="0" w:line="240" w:lineRule="auto"/>
      <w:ind w:firstLine="1134"/>
      <w:jc w:val="both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F91FB9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1FB9"/>
    <w:rPr>
      <w:rFonts w:ascii="Times New Roman" w:hAnsi="Times New Roman" w:cs="Times New Roman"/>
      <w:sz w:val="24"/>
      <w:szCs w:val="24"/>
      <w:lang w:eastAsia="zh-CN"/>
    </w:rPr>
  </w:style>
  <w:style w:type="paragraph" w:customStyle="1" w:styleId="22">
    <w:name w:val="Основной текст 22"/>
    <w:basedOn w:val="Normal"/>
    <w:uiPriority w:val="99"/>
    <w:rsid w:val="005736CF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zh-CN"/>
    </w:rPr>
  </w:style>
  <w:style w:type="paragraph" w:customStyle="1" w:styleId="21">
    <w:name w:val="Основной текст 21"/>
    <w:basedOn w:val="Normal"/>
    <w:uiPriority w:val="99"/>
    <w:rsid w:val="005736CF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281</TotalTime>
  <Pages>2</Pages>
  <Words>642</Words>
  <Characters>3665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</dc:creator>
  <cp:keywords/>
  <dc:description/>
  <cp:lastModifiedBy>A</cp:lastModifiedBy>
  <cp:revision>7</cp:revision>
  <dcterms:created xsi:type="dcterms:W3CDTF">2020-08-04T08:22:00Z</dcterms:created>
  <dcterms:modified xsi:type="dcterms:W3CDTF">2020-08-07T05:30:00Z</dcterms:modified>
</cp:coreProperties>
</file>